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2B9C" w14:textId="77777777" w:rsidR="00434C5E" w:rsidRPr="002522FA" w:rsidRDefault="00434C5E" w:rsidP="00434C5E">
      <w:pPr>
        <w:pStyle w:val="Ttulo"/>
      </w:pPr>
      <w:r w:rsidRPr="002522FA">
        <w:t xml:space="preserve">DECLARACIÓN SOBRE INFORMACIÓN RELATIVA A LA </w:t>
      </w:r>
      <w:r w:rsidRPr="00A107B0">
        <w:t>CONDICIÓN</w:t>
      </w:r>
      <w:r w:rsidRPr="002522FA">
        <w:t xml:space="preserve"> DE PYME</w:t>
      </w:r>
    </w:p>
    <w:p w14:paraId="112E103B" w14:textId="77777777" w:rsidR="00240DB8" w:rsidRPr="00240DB8" w:rsidRDefault="00240DB8" w:rsidP="003E26F8">
      <w:pPr>
        <w:keepNext/>
        <w:spacing w:before="240" w:after="60" w:line="240" w:lineRule="auto"/>
        <w:ind w:firstLine="709"/>
        <w:jc w:val="center"/>
        <w:outlineLvl w:val="0"/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val="es-ES_tradnl" w:eastAsia="es-ES"/>
        </w:rPr>
      </w:pPr>
      <w:r w:rsidRPr="00240DB8"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val="es-ES_tradnl" w:eastAsia="es-ES"/>
        </w:rPr>
        <w:t>(EMPRESA AUTÓNOMA, ASOCIADA Y/O VINCULADA)</w:t>
      </w:r>
    </w:p>
    <w:p w14:paraId="2F315A50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val="es-ES_tradnl" w:eastAsia="es-ES"/>
        </w:rPr>
      </w:pPr>
    </w:p>
    <w:p w14:paraId="13626F5B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D. ____________________________________ con D.N.I. ________________________, en representación de la empresa __________________________________________ con C.I.F. ___________________________ y domicilio social en _________________________________________________________ y con el objetivo de acogerme a las </w:t>
      </w:r>
      <w:r w:rsidRPr="00240DB8"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  <w:t>ayudas reguladas bajo la aplicación del “Enfoque Leader” del Programa de Desarrollo Rural en Extremadura 2014-2020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, gestionado por la Asociación para el Desarrollo de la Comarca Tajo-Salor-Almonte (TAGUS), para la realización del proyecto de inversión denominado “___________________________________________________________________”:</w:t>
      </w:r>
    </w:p>
    <w:p w14:paraId="4256A3B1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10D28888" w14:textId="77777777" w:rsidR="00240DB8" w:rsidRDefault="00240DB8" w:rsidP="00240DB8">
      <w:pPr>
        <w:keepNext/>
        <w:spacing w:before="240" w:after="60" w:line="240" w:lineRule="auto"/>
        <w:ind w:firstLine="709"/>
        <w:jc w:val="both"/>
        <w:outlineLvl w:val="0"/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</w:pPr>
      <w:r w:rsidRPr="00240DB8"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  <w:t>DECLARO</w:t>
      </w:r>
    </w:p>
    <w:p w14:paraId="4F4D2C8A" w14:textId="77777777" w:rsidR="00240DB8" w:rsidRPr="00240DB8" w:rsidRDefault="00240DB8" w:rsidP="00240DB8">
      <w:pPr>
        <w:keepNext/>
        <w:spacing w:before="240" w:after="60" w:line="240" w:lineRule="auto"/>
        <w:ind w:firstLine="709"/>
        <w:jc w:val="both"/>
        <w:outlineLvl w:val="0"/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</w:pPr>
    </w:p>
    <w:p w14:paraId="77CC8AF7" w14:textId="77777777" w:rsidR="00240DB8" w:rsidRPr="00240DB8" w:rsidRDefault="00240DB8" w:rsidP="00240DB8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Cumplir los requisitos para sea considerada PYME establecidos en la </w:t>
      </w:r>
      <w:hyperlink r:id="rId8" w:history="1">
        <w:r w:rsidRPr="00240DB8">
          <w:rPr>
            <w:rFonts w:ascii="Calibri" w:eastAsia="Times New Roman" w:hAnsi="Calibri" w:cs="Times New Roman"/>
            <w:w w:val="75"/>
            <w:sz w:val="24"/>
            <w:szCs w:val="24"/>
            <w:lang w:eastAsia="es-ES"/>
          </w:rPr>
          <w:t>Recomendación 2003/361/CE de la Comisión</w:t>
        </w:r>
      </w:hyperlink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, de 6 de mayo de 2003, sobre la definición de microempresas, pequeñas y medianas empresas (Diario Oficial L 124 de 20-5-2003), en la siguiente categoría:</w:t>
      </w:r>
    </w:p>
    <w:p w14:paraId="7CFC2375" w14:textId="77777777" w:rsidR="00240DB8" w:rsidRPr="00240DB8" w:rsidRDefault="00240DB8" w:rsidP="00240DB8">
      <w:pPr>
        <w:spacing w:before="120" w:after="120" w:line="240" w:lineRule="auto"/>
        <w:ind w:left="709" w:hanging="425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instrText xml:space="preserve"> FORMCHECKBOX </w:instrText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separat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end"/>
      </w:r>
      <w:bookmarkEnd w:id="0"/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Categoría de microempresas, pequeñas y medianas empresas (PYME): empresas que ocupan a menos de 250 personas y cuyo volumen de negocios anual no excede de 50 millones de euros o cuyo balance general anual no excede de 43 millones de euros.</w:t>
      </w:r>
    </w:p>
    <w:p w14:paraId="6FE937E9" w14:textId="77777777" w:rsidR="00240DB8" w:rsidRPr="00240DB8" w:rsidRDefault="00240DB8" w:rsidP="00240DB8">
      <w:pPr>
        <w:spacing w:before="120" w:after="120" w:line="240" w:lineRule="auto"/>
        <w:ind w:left="709" w:hanging="425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instrText xml:space="preserve"> FORMCHECKBOX </w:instrText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separat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end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Categoría PYME, pequeña empresa: empresa que ocupa a menos de 50 personas y cuyo volumen de negocios anual o cuyo balance general anual no supera los 10 millones de euros.</w:t>
      </w:r>
    </w:p>
    <w:p w14:paraId="6112E1F3" w14:textId="77777777" w:rsidR="00240DB8" w:rsidRPr="00240DB8" w:rsidRDefault="00240DB8" w:rsidP="00240DB8">
      <w:pPr>
        <w:spacing w:before="120" w:after="120" w:line="240" w:lineRule="auto"/>
        <w:ind w:left="709" w:hanging="425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instrText xml:space="preserve"> FORMCHECKBOX </w:instrText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separat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end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Categoría PYME, microempresa: empresa que ocupa a menos de 10 personas y cuyo volumen de negocios anual o cuyo balance general anual no supera los 2 millones de euros.</w:t>
      </w:r>
    </w:p>
    <w:p w14:paraId="2C730E4E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54F896CF" w14:textId="77777777" w:rsidR="00240DB8" w:rsidRPr="00240DB8" w:rsidRDefault="00240DB8" w:rsidP="00240DB8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Que, según lo dispuesto en la citada recomendación, la empresa solicitante de la ayuda se considera empresa (marcar con una X lo que proceda):</w:t>
      </w:r>
    </w:p>
    <w:p w14:paraId="5FBE602F" w14:textId="77777777" w:rsidR="00240DB8" w:rsidRPr="00240DB8" w:rsidRDefault="00240DB8" w:rsidP="00240DB8">
      <w:pPr>
        <w:spacing w:before="120" w:after="120" w:line="240" w:lineRule="auto"/>
        <w:ind w:left="709" w:hanging="425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instrText xml:space="preserve"> FORMCHECKBOX </w:instrText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separat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end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Autónoma  </w:t>
      </w:r>
    </w:p>
    <w:p w14:paraId="257CD4E0" w14:textId="77777777" w:rsidR="00240DB8" w:rsidRPr="00240DB8" w:rsidRDefault="00240DB8" w:rsidP="00240DB8">
      <w:pPr>
        <w:spacing w:before="120" w:after="120" w:line="240" w:lineRule="auto"/>
        <w:ind w:left="709" w:hanging="425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instrText xml:space="preserve"> FORMCHECKBOX </w:instrText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separat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end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Asociada, a las siguientes empresas: ___________________________________________________________</w:t>
      </w:r>
    </w:p>
    <w:p w14:paraId="40FF5B22" w14:textId="77777777" w:rsidR="00240DB8" w:rsidRPr="00240DB8" w:rsidRDefault="00240DB8" w:rsidP="00240DB8">
      <w:pPr>
        <w:spacing w:before="120" w:after="120" w:line="240" w:lineRule="auto"/>
        <w:ind w:left="709" w:hanging="425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instrText xml:space="preserve"> FORMCHECKBOX </w:instrText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r>
      <w:r w:rsidR="003E26F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separat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fldChar w:fldCharType="end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Vinculada, a las siguientes empresas: ____________________________________________________________</w:t>
      </w:r>
    </w:p>
    <w:p w14:paraId="1F580550" w14:textId="77777777" w:rsidR="00240DB8" w:rsidRPr="00240DB8" w:rsidRDefault="00240DB8" w:rsidP="00240DB8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br w:type="page"/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lastRenderedPageBreak/>
        <w:t xml:space="preserve">Que la empresa solicitante de la ayuda (y sus empresas asociadas, vinculadas en su caso) presenta los siguientes datos: </w:t>
      </w:r>
    </w:p>
    <w:tbl>
      <w:tblPr>
        <w:tblpPr w:leftFromText="141" w:rightFromText="141" w:vertAnchor="text" w:horzAnchor="margin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132"/>
        <w:gridCol w:w="1992"/>
        <w:gridCol w:w="1727"/>
      </w:tblGrid>
      <w:tr w:rsidR="00240DB8" w:rsidRPr="00240DB8" w14:paraId="50FE4B18" w14:textId="77777777" w:rsidTr="002E6A7E">
        <w:trPr>
          <w:trHeight w:val="414"/>
        </w:trPr>
        <w:tc>
          <w:tcPr>
            <w:tcW w:w="1781" w:type="pct"/>
            <w:shd w:val="clear" w:color="auto" w:fill="auto"/>
          </w:tcPr>
          <w:p w14:paraId="0ED09F5D" w14:textId="77777777" w:rsidR="00240DB8" w:rsidRPr="00240DB8" w:rsidRDefault="00240DB8" w:rsidP="0024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w w:val="75"/>
                <w:sz w:val="24"/>
                <w:szCs w:val="24"/>
                <w:lang w:eastAsia="es-ES"/>
              </w:rPr>
            </w:pPr>
            <w:r w:rsidRPr="00240DB8">
              <w:rPr>
                <w:rFonts w:ascii="Calibri" w:eastAsia="Times New Roman" w:hAnsi="Calibri" w:cs="Times New Roman"/>
                <w:b/>
                <w:bCs/>
                <w:w w:val="75"/>
                <w:sz w:val="24"/>
                <w:szCs w:val="24"/>
                <w:lang w:eastAsia="es-ES"/>
              </w:rPr>
              <w:t>EMPRESA</w:t>
            </w:r>
          </w:p>
        </w:tc>
        <w:tc>
          <w:tcPr>
            <w:tcW w:w="1173" w:type="pct"/>
            <w:shd w:val="clear" w:color="auto" w:fill="auto"/>
          </w:tcPr>
          <w:p w14:paraId="747E6955" w14:textId="77777777" w:rsidR="00240DB8" w:rsidRPr="00240DB8" w:rsidRDefault="00240DB8" w:rsidP="0024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w w:val="75"/>
                <w:sz w:val="20"/>
                <w:szCs w:val="20"/>
                <w:lang w:eastAsia="es-ES"/>
              </w:rPr>
            </w:pPr>
            <w:r w:rsidRPr="00240DB8">
              <w:rPr>
                <w:rFonts w:ascii="Calibri" w:eastAsia="Times New Roman" w:hAnsi="Calibri" w:cs="Times New Roman"/>
                <w:b/>
                <w:bCs/>
                <w:w w:val="75"/>
                <w:sz w:val="20"/>
                <w:szCs w:val="20"/>
                <w:lang w:eastAsia="es-ES"/>
              </w:rPr>
              <w:t>Volumen anual de negocio (€)</w:t>
            </w:r>
          </w:p>
        </w:tc>
        <w:tc>
          <w:tcPr>
            <w:tcW w:w="1096" w:type="pct"/>
            <w:shd w:val="clear" w:color="auto" w:fill="auto"/>
          </w:tcPr>
          <w:p w14:paraId="309BC4B6" w14:textId="77777777" w:rsidR="00240DB8" w:rsidRPr="00240DB8" w:rsidRDefault="00240DB8" w:rsidP="0024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w w:val="75"/>
                <w:sz w:val="20"/>
                <w:szCs w:val="20"/>
                <w:lang w:eastAsia="es-ES"/>
              </w:rPr>
            </w:pPr>
            <w:r w:rsidRPr="00240DB8">
              <w:rPr>
                <w:rFonts w:ascii="Calibri" w:eastAsia="Times New Roman" w:hAnsi="Calibri" w:cs="Times New Roman"/>
                <w:b/>
                <w:bCs/>
                <w:w w:val="75"/>
                <w:sz w:val="20"/>
                <w:szCs w:val="20"/>
                <w:lang w:eastAsia="es-ES"/>
              </w:rPr>
              <w:t>Activo del Balance (€)</w:t>
            </w:r>
          </w:p>
        </w:tc>
        <w:tc>
          <w:tcPr>
            <w:tcW w:w="950" w:type="pct"/>
            <w:shd w:val="clear" w:color="auto" w:fill="auto"/>
          </w:tcPr>
          <w:p w14:paraId="62D64412" w14:textId="77777777" w:rsidR="00240DB8" w:rsidRPr="00240DB8" w:rsidRDefault="00240DB8" w:rsidP="0024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w w:val="75"/>
                <w:sz w:val="20"/>
                <w:szCs w:val="20"/>
                <w:lang w:eastAsia="es-ES"/>
              </w:rPr>
            </w:pPr>
            <w:r w:rsidRPr="00240DB8">
              <w:rPr>
                <w:rFonts w:ascii="Calibri" w:eastAsia="Times New Roman" w:hAnsi="Calibri" w:cs="Times New Roman"/>
                <w:b/>
                <w:bCs/>
                <w:w w:val="75"/>
                <w:sz w:val="20"/>
                <w:szCs w:val="20"/>
                <w:lang w:eastAsia="es-ES"/>
              </w:rPr>
              <w:t>Nº trabajadores (UTA)</w:t>
            </w:r>
          </w:p>
        </w:tc>
      </w:tr>
      <w:tr w:rsidR="00240DB8" w:rsidRPr="00240DB8" w14:paraId="64122A6D" w14:textId="77777777" w:rsidTr="002E6A7E">
        <w:trPr>
          <w:trHeight w:val="381"/>
        </w:trPr>
        <w:tc>
          <w:tcPr>
            <w:tcW w:w="1781" w:type="pct"/>
            <w:shd w:val="clear" w:color="auto" w:fill="auto"/>
          </w:tcPr>
          <w:p w14:paraId="4693A86B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173" w:type="pct"/>
            <w:shd w:val="clear" w:color="auto" w:fill="auto"/>
          </w:tcPr>
          <w:p w14:paraId="29B0DC67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auto"/>
          </w:tcPr>
          <w:p w14:paraId="0104127F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950" w:type="pct"/>
            <w:shd w:val="clear" w:color="auto" w:fill="auto"/>
          </w:tcPr>
          <w:p w14:paraId="144632A9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</w:tr>
      <w:tr w:rsidR="00240DB8" w:rsidRPr="00240DB8" w14:paraId="1A19788B" w14:textId="77777777" w:rsidTr="002E6A7E">
        <w:trPr>
          <w:trHeight w:val="381"/>
        </w:trPr>
        <w:tc>
          <w:tcPr>
            <w:tcW w:w="1781" w:type="pct"/>
            <w:shd w:val="clear" w:color="auto" w:fill="auto"/>
          </w:tcPr>
          <w:p w14:paraId="27F2834F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173" w:type="pct"/>
            <w:shd w:val="clear" w:color="auto" w:fill="auto"/>
          </w:tcPr>
          <w:p w14:paraId="1DA4387B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auto"/>
          </w:tcPr>
          <w:p w14:paraId="401784CD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950" w:type="pct"/>
            <w:shd w:val="clear" w:color="auto" w:fill="auto"/>
          </w:tcPr>
          <w:p w14:paraId="614E7633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</w:tr>
      <w:tr w:rsidR="00240DB8" w:rsidRPr="00240DB8" w14:paraId="22C1C4DA" w14:textId="77777777" w:rsidTr="002E6A7E">
        <w:trPr>
          <w:trHeight w:val="381"/>
        </w:trPr>
        <w:tc>
          <w:tcPr>
            <w:tcW w:w="1781" w:type="pct"/>
            <w:shd w:val="clear" w:color="auto" w:fill="auto"/>
          </w:tcPr>
          <w:p w14:paraId="5E322331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173" w:type="pct"/>
            <w:shd w:val="clear" w:color="auto" w:fill="auto"/>
          </w:tcPr>
          <w:p w14:paraId="447CFF91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auto"/>
          </w:tcPr>
          <w:p w14:paraId="0A6545AE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950" w:type="pct"/>
            <w:shd w:val="clear" w:color="auto" w:fill="auto"/>
          </w:tcPr>
          <w:p w14:paraId="6A2EDC2E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</w:tr>
      <w:tr w:rsidR="00240DB8" w:rsidRPr="00240DB8" w14:paraId="40F221B3" w14:textId="77777777" w:rsidTr="002E6A7E">
        <w:trPr>
          <w:trHeight w:val="381"/>
        </w:trPr>
        <w:tc>
          <w:tcPr>
            <w:tcW w:w="1781" w:type="pct"/>
            <w:shd w:val="clear" w:color="auto" w:fill="auto"/>
          </w:tcPr>
          <w:p w14:paraId="7EA9A77F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173" w:type="pct"/>
            <w:shd w:val="clear" w:color="auto" w:fill="auto"/>
          </w:tcPr>
          <w:p w14:paraId="4D8BBE34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auto"/>
          </w:tcPr>
          <w:p w14:paraId="050CAF87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  <w:tc>
          <w:tcPr>
            <w:tcW w:w="950" w:type="pct"/>
            <w:shd w:val="clear" w:color="auto" w:fill="auto"/>
          </w:tcPr>
          <w:p w14:paraId="52B69154" w14:textId="77777777" w:rsidR="00240DB8" w:rsidRPr="00240DB8" w:rsidRDefault="00240DB8" w:rsidP="00240D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w w:val="75"/>
                <w:sz w:val="24"/>
                <w:szCs w:val="24"/>
                <w:lang w:eastAsia="es-ES"/>
              </w:rPr>
            </w:pPr>
          </w:p>
        </w:tc>
      </w:tr>
    </w:tbl>
    <w:p w14:paraId="2403B63B" w14:textId="77777777" w:rsidR="00240DB8" w:rsidRPr="00240DB8" w:rsidRDefault="00240DB8" w:rsidP="00240DB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  <w:t xml:space="preserve">* Todos los datos deberán corresponder al último ejercicio contable cerrado y con carácter anual. </w:t>
      </w:r>
    </w:p>
    <w:p w14:paraId="3D72C5FB" w14:textId="77777777" w:rsidR="00240DB8" w:rsidRPr="00240DB8" w:rsidRDefault="00240DB8" w:rsidP="00240DB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  <w:t>* En empresas de nueva creación que no han cerrado aún sus cuentas, se utilizarán datos basados en estimaciones fiables realizadas durante el ejercicio financiero</w:t>
      </w:r>
    </w:p>
    <w:p w14:paraId="77221223" w14:textId="77777777" w:rsidR="00240DB8" w:rsidRPr="00240DB8" w:rsidRDefault="00240DB8" w:rsidP="00240DB8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Que se compromete a comunicar por escrito a TAGUS cualquier modificación sobre la condición de PYME declarada, en la fecha en que se tenga conocimiento de la misma.</w:t>
      </w:r>
    </w:p>
    <w:p w14:paraId="711EAE64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41151EE6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Y para que conste, firma la presente declaración en ________________ a _________________________</w:t>
      </w:r>
    </w:p>
    <w:p w14:paraId="624F3F09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1532222D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3F55CD06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59A72D41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</w:p>
    <w:p w14:paraId="7D7FFACA" w14:textId="77777777" w:rsidR="00240DB8" w:rsidRPr="00240DB8" w:rsidRDefault="00240DB8" w:rsidP="00240DB8">
      <w:pPr>
        <w:spacing w:before="120" w:after="120" w:line="240" w:lineRule="auto"/>
        <w:ind w:firstLine="709"/>
        <w:jc w:val="center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Fdo.: ____________________________</w:t>
      </w:r>
    </w:p>
    <w:p w14:paraId="6E99D327" w14:textId="77777777" w:rsidR="00434C5E" w:rsidRDefault="00434C5E" w:rsidP="00434C5E">
      <w:pPr>
        <w:pStyle w:val="Ttulo"/>
      </w:pPr>
      <w:r>
        <w:br w:type="page"/>
      </w:r>
      <w:r w:rsidRPr="00354E4F">
        <w:lastRenderedPageBreak/>
        <w:t xml:space="preserve">NOTA EXPLICATIVA </w:t>
      </w:r>
      <w:r>
        <w:t>RELATIVA</w:t>
      </w:r>
      <w:r w:rsidRPr="00354E4F">
        <w:t xml:space="preserve"> A LOS TIPOS DE EMPRESAS CONSIDERADOS PARA CALCULAR LOS EFECTIVOS Y LOS IMPORTES FINANCIEROS</w:t>
      </w:r>
    </w:p>
    <w:p w14:paraId="73C7F480" w14:textId="77777777" w:rsidR="00240DB8" w:rsidRPr="00240DB8" w:rsidRDefault="00240DB8" w:rsidP="00240DB8">
      <w:pPr>
        <w:keepNext/>
        <w:spacing w:before="240" w:after="60" w:line="240" w:lineRule="auto"/>
        <w:ind w:firstLine="709"/>
        <w:jc w:val="both"/>
        <w:outlineLvl w:val="0"/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</w:pPr>
      <w:r w:rsidRPr="00240DB8"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  <w:t xml:space="preserve">I.- TIPOS DE EMPRESAS </w:t>
      </w:r>
    </w:p>
    <w:p w14:paraId="58FBC97C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La definición de PYME (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nota 1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) distingue tres tipos de empresa en función del tipo de relación que mantiene con otras empresas respecto a participación en el capital, derechos de voto o derecho a ejercer una influencia dominante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2)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. </w:t>
      </w:r>
    </w:p>
    <w:p w14:paraId="4E6D84F8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  <w:t>Tipo 1: empresa autónoma.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 Es con diferencia el caso más frecuente. Abarca todas las empresas que no pertenecen a ninguno de los otros dos tipos (asociadas o vinculadas).  </w:t>
      </w:r>
    </w:p>
    <w:p w14:paraId="5A92FFA6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La empresa solicitante es autónoma si: </w:t>
      </w:r>
    </w:p>
    <w:p w14:paraId="5466702D" w14:textId="77777777" w:rsidR="00240DB8" w:rsidRPr="00240DB8" w:rsidRDefault="00240DB8" w:rsidP="00240DB8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no posee una participación igual o superior al 25%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3)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en otra empresa. </w:t>
      </w:r>
    </w:p>
    <w:p w14:paraId="78EA4543" w14:textId="77777777" w:rsidR="00240DB8" w:rsidRPr="00240DB8" w:rsidRDefault="00240DB8" w:rsidP="00240DB8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el 25 %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3)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o más de la misma no es propiedad directa de otra empresa u organismo público ni de varias empresas vinculadas entre sí o varios organismos públicos, salvo determinadas excepciones (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nota 4).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</w:t>
      </w:r>
    </w:p>
    <w:p w14:paraId="4E701027" w14:textId="77777777" w:rsidR="00240DB8" w:rsidRPr="00240DB8" w:rsidRDefault="00240DB8" w:rsidP="00240DB8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y no elabora cuentas consolidadas, ni está incluida en las cuentas de una empresa que elabore cuentas consolidadas, y por tanto no es una empresa vinculada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5)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. </w:t>
      </w:r>
    </w:p>
    <w:p w14:paraId="3C2888E7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  <w:t>Tipo 2: empresa asociada.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  </w:t>
      </w:r>
    </w:p>
    <w:p w14:paraId="7A18CC7F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La empresa solicitante es asociada de otra empresa si: </w:t>
      </w:r>
    </w:p>
    <w:p w14:paraId="246A2863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posee una participación comprendida entre el 25 % (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nota 3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) y el 50 % (nota 3) de dicha empresa, </w:t>
      </w:r>
    </w:p>
    <w:p w14:paraId="179C285F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si dicha empresa posee una participación comprendida entre el 25 %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3)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y el 50 %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3)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de la empresa solicitante, </w:t>
      </w:r>
    </w:p>
    <w:p w14:paraId="5CC58626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y la empresa solicitante no elabora cuentas consolidadas que incluyan a dicha empresa por consolidación, ni está incluida por consolidación en las cuentas de dicha empresa ni en las de ninguna empresa vinculada a ella 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(nota 5)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.</w:t>
      </w:r>
    </w:p>
    <w:p w14:paraId="20B83E24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sz w:val="24"/>
          <w:szCs w:val="24"/>
          <w:lang w:eastAsia="es-ES"/>
        </w:rPr>
        <w:t>Tipo 3: empresa vinculada.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 Este tipo corresponde a la situación económica de las empresas que forman parte de un grupo que controla, directa o indirectamente, la mayoría de su capital o derechos de voto (aunque sea a través de acuerdos o de personas físicas accionistas), o que puede ejercer una influencia dominante sobre la empresa. Son casos menos habituales que en general se diferencian claramente de los dos tipos anteriores.  </w:t>
      </w:r>
    </w:p>
    <w:p w14:paraId="5734B8DA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Para evitar dificultades de interpretación a las empresas, la Comisión Europea ha definido este tipo de empresas utilizando, cuando se adapten al objeto de la definición, las condiciones incluidas en el artículo 1 de la Directiva 83/349/CEE 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lastRenderedPageBreak/>
        <w:t>del Consejo, de 13 de junio de 1983, basada en la letra g) del apartado 3 del artículo 54 del Tratado, relativa a las cuentas consolidadas (</w:t>
      </w:r>
      <w:r w:rsidRPr="00240DB8">
        <w:rPr>
          <w:rFonts w:ascii="Calibri" w:eastAsia="Times New Roman" w:hAnsi="Calibri" w:cs="Times New Roman"/>
          <w:i/>
          <w:iCs/>
          <w:w w:val="75"/>
          <w:sz w:val="24"/>
          <w:szCs w:val="24"/>
          <w:lang w:eastAsia="es-ES"/>
        </w:rPr>
        <w:t>nota 6</w:t>
      </w: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), que se aplica desde hace años.  </w:t>
      </w:r>
    </w:p>
    <w:p w14:paraId="1CA471DE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  </w:t>
      </w:r>
    </w:p>
    <w:p w14:paraId="6BB10FFD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Los dos únicos casos, aunque poco frecuentes, en los cuales una empresa puede considerarse vinculada sin estar obligada a elaborar cuentas consolidadas, se describen en los dos primeros guiones de la nota 5 al final de la presente nota explicativa. En este caso, la empresa debe verificar si cumple alguna de las condiciones especificadas en el apartado 3 del artículo 3 de la Definición.  </w:t>
      </w:r>
    </w:p>
    <w:p w14:paraId="02BF3B8C" w14:textId="77777777" w:rsidR="00240DB8" w:rsidRPr="00240DB8" w:rsidRDefault="00240DB8" w:rsidP="00240DB8">
      <w:pPr>
        <w:keepNext/>
        <w:spacing w:before="240" w:after="60" w:line="240" w:lineRule="auto"/>
        <w:ind w:firstLine="709"/>
        <w:jc w:val="both"/>
        <w:outlineLvl w:val="0"/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</w:pPr>
      <w:r w:rsidRPr="00240DB8">
        <w:rPr>
          <w:rFonts w:ascii="Calibri Light" w:eastAsia="Times New Roman" w:hAnsi="Calibri Light" w:cs="Arial"/>
          <w:b/>
          <w:bCs/>
          <w:w w:val="75"/>
          <w:kern w:val="32"/>
          <w:sz w:val="32"/>
          <w:szCs w:val="32"/>
          <w:lang w:eastAsia="es-ES"/>
        </w:rPr>
        <w:t xml:space="preserve">II.- LOS EFECTIVOS Y UNIDADES DE TRABAJO ANUAL </w:t>
      </w:r>
      <w:r w:rsidRPr="00240DB8">
        <w:rPr>
          <w:rFonts w:ascii="Calibri Light" w:eastAsia="Times New Roman" w:hAnsi="Calibri Light" w:cs="Arial"/>
          <w:b/>
          <w:bCs/>
          <w:i/>
          <w:iCs/>
          <w:w w:val="75"/>
          <w:kern w:val="32"/>
          <w:sz w:val="32"/>
          <w:szCs w:val="32"/>
          <w:lang w:eastAsia="es-ES"/>
        </w:rPr>
        <w:t>(nota 7)</w:t>
      </w:r>
    </w:p>
    <w:p w14:paraId="7D5C2D37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Los efectivos de una empresa corresponden al número de unidades de trabajo anual (UTA). </w:t>
      </w:r>
    </w:p>
    <w:p w14:paraId="543FA280" w14:textId="77777777" w:rsidR="00240DB8" w:rsidRPr="00240DB8" w:rsidRDefault="00240DB8" w:rsidP="00240DB8">
      <w:pPr>
        <w:keepNext/>
        <w:spacing w:before="240" w:after="60" w:line="240" w:lineRule="auto"/>
        <w:ind w:firstLine="709"/>
        <w:jc w:val="both"/>
        <w:outlineLvl w:val="2"/>
        <w:rPr>
          <w:rFonts w:ascii="Calibri" w:eastAsia="Times New Roman" w:hAnsi="Calibri" w:cs="Arial"/>
          <w:b/>
          <w:bCs/>
          <w:w w:val="75"/>
          <w:sz w:val="28"/>
          <w:szCs w:val="28"/>
          <w:lang w:eastAsia="es-ES"/>
        </w:rPr>
      </w:pPr>
      <w:r w:rsidRPr="00240DB8">
        <w:rPr>
          <w:rFonts w:ascii="Calibri" w:eastAsia="Times New Roman" w:hAnsi="Calibri" w:cs="Arial"/>
          <w:b/>
          <w:bCs/>
          <w:w w:val="75"/>
          <w:sz w:val="28"/>
          <w:szCs w:val="28"/>
          <w:lang w:eastAsia="es-ES"/>
        </w:rPr>
        <w:t xml:space="preserve">¿Quiénes se incluyen en los efectivos? </w:t>
      </w:r>
    </w:p>
    <w:p w14:paraId="2849DB4C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los asalariados de la empresa, </w:t>
      </w:r>
    </w:p>
    <w:p w14:paraId="346EC16F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las personas que trabajan para la empresa que mantengan una relación de subordinación con la misma y estén asimiladas a los asalariados con arreglo a la legislación nacional, </w:t>
      </w:r>
    </w:p>
    <w:p w14:paraId="17FF9C76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los propietarios que dirigen su empresa, </w:t>
      </w:r>
    </w:p>
    <w:p w14:paraId="44222C3D" w14:textId="77777777" w:rsidR="00240DB8" w:rsidRPr="00240DB8" w:rsidRDefault="00240DB8" w:rsidP="00240DB8">
      <w:pPr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los socios que ejerzan una actividad regular en la empresa y disfruten de ventajas financieras por parte de la empresa. </w:t>
      </w:r>
    </w:p>
    <w:p w14:paraId="6E080409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Los aprendices o alumnos de formación profesional con contrato de aprendizaje o formación profesional no se contabilizarán dentro de los efectivos.  </w:t>
      </w:r>
    </w:p>
    <w:p w14:paraId="448FD258" w14:textId="77777777" w:rsidR="00240DB8" w:rsidRPr="00240DB8" w:rsidRDefault="00240DB8" w:rsidP="00240DB8">
      <w:pPr>
        <w:keepNext/>
        <w:spacing w:before="240" w:after="60" w:line="240" w:lineRule="auto"/>
        <w:ind w:firstLine="709"/>
        <w:jc w:val="both"/>
        <w:outlineLvl w:val="2"/>
        <w:rPr>
          <w:rFonts w:ascii="Calibri" w:eastAsia="Times New Roman" w:hAnsi="Calibri" w:cs="Arial"/>
          <w:b/>
          <w:bCs/>
          <w:w w:val="75"/>
          <w:sz w:val="28"/>
          <w:szCs w:val="28"/>
          <w:lang w:eastAsia="es-ES"/>
        </w:rPr>
      </w:pPr>
      <w:r w:rsidRPr="00240DB8">
        <w:rPr>
          <w:rFonts w:ascii="Calibri" w:eastAsia="Times New Roman" w:hAnsi="Calibri" w:cs="Arial"/>
          <w:b/>
          <w:bCs/>
          <w:w w:val="75"/>
          <w:sz w:val="28"/>
          <w:szCs w:val="28"/>
          <w:lang w:eastAsia="es-ES"/>
        </w:rPr>
        <w:t xml:space="preserve">Modo de calcular los efectivos </w:t>
      </w:r>
    </w:p>
    <w:p w14:paraId="5C854439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Una UTA corresponde a una persona que haya trabajado en la empresa o por cuenta de la misma a jornada completa durante todo el año de que se trate. Los efectivos se contabilizan en UTA.  </w:t>
      </w:r>
    </w:p>
    <w:p w14:paraId="7F9718C4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El trabajo de las personas que no hayan trabajado todo el año o lo hayan hecho a tiempo parcial, independientemente de su duración, así como el trabajo estacional, se contabiliza en fracciones de UTA.  </w:t>
      </w:r>
    </w:p>
    <w:p w14:paraId="629E2424" w14:textId="77777777" w:rsidR="00240DB8" w:rsidRPr="00240DB8" w:rsidRDefault="00240DB8" w:rsidP="00240DB8">
      <w:pPr>
        <w:spacing w:before="120" w:after="120" w:line="240" w:lineRule="auto"/>
        <w:ind w:firstLine="709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No se contabiliza la duración de los permisos de maternidad o permisos parentales.</w:t>
      </w:r>
    </w:p>
    <w:p w14:paraId="67DD6C8A" w14:textId="77777777" w:rsidR="00240DB8" w:rsidRPr="00240DB8" w:rsidRDefault="00240DB8" w:rsidP="00240DB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 xml:space="preserve">Presidente, Director General o equivalente </w:t>
      </w:r>
    </w:p>
    <w:p w14:paraId="3499E6D1" w14:textId="77777777" w:rsidR="00240DB8" w:rsidRPr="00240DB8" w:rsidRDefault="00240DB8" w:rsidP="00240DB8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sz w:val="24"/>
          <w:szCs w:val="24"/>
          <w:lang w:eastAsia="es-ES"/>
        </w:rPr>
      </w:pPr>
      <w:r w:rsidRPr="00240DB8">
        <w:rPr>
          <w:rFonts w:ascii="Calibri" w:eastAsia="Times New Roman" w:hAnsi="Calibri" w:cs="Times New Roman"/>
          <w:w w:val="75"/>
          <w:sz w:val="24"/>
          <w:szCs w:val="24"/>
          <w:lang w:eastAsia="es-ES"/>
        </w:rPr>
        <w:t>Apartado 2 del artículo 4 de la definición en el Anexo a la Recomendación 2003/361/CE de la Comisión</w:t>
      </w:r>
    </w:p>
    <w:p w14:paraId="5AA18FD9" w14:textId="5FF654C5" w:rsidR="00434C5E" w:rsidRDefault="00434C5E" w:rsidP="00434C5E">
      <w:pPr>
        <w:pStyle w:val="Ttulo1"/>
        <w:pBdr>
          <w:bottom w:val="single" w:sz="4" w:space="1" w:color="auto"/>
        </w:pBdr>
        <w:ind w:firstLine="0"/>
      </w:pPr>
      <w:r w:rsidRPr="00434C5E">
        <w:rPr>
          <w:sz w:val="22"/>
          <w:szCs w:val="22"/>
        </w:rPr>
        <w:br w:type="page"/>
      </w:r>
      <w:r w:rsidRPr="005F3444">
        <w:rPr>
          <w:sz w:val="36"/>
          <w:szCs w:val="36"/>
        </w:rPr>
        <w:lastRenderedPageBreak/>
        <w:t>Notas Importantes.</w:t>
      </w:r>
    </w:p>
    <w:p w14:paraId="7CED5797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1.-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En el presente texto, el término definición se refiere al anexo de la Recomendación 2003/ 361/CE de la Comisión, sobre a definición de pequeñas y medianas empresas. </w:t>
      </w:r>
    </w:p>
    <w:p w14:paraId="3846279A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Calibri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2.-</w:t>
      </w:r>
      <w:r w:rsidRPr="00240DB8">
        <w:rPr>
          <w:rFonts w:ascii="Calibri" w:eastAsia="Times New Roman" w:hAnsi="Calibri" w:cs="Calibri"/>
          <w:w w:val="75"/>
          <w:lang w:eastAsia="es-ES"/>
        </w:rPr>
        <w:t xml:space="preserve"> </w:t>
      </w:r>
      <w:r w:rsidRPr="00240DB8">
        <w:rPr>
          <w:rFonts w:ascii="Calibri" w:eastAsia="Times New Roman" w:hAnsi="Calibri" w:cs="Times New Roman"/>
          <w:w w:val="75"/>
          <w:lang w:eastAsia="es-ES"/>
        </w:rPr>
        <w:t>Artículo</w:t>
      </w:r>
      <w:r w:rsidRPr="00240DB8">
        <w:rPr>
          <w:rFonts w:ascii="Calibri" w:eastAsia="Times New Roman" w:hAnsi="Calibri" w:cs="Calibri"/>
          <w:w w:val="75"/>
          <w:lang w:eastAsia="es-ES"/>
        </w:rPr>
        <w:t xml:space="preserve"> 3 de la definición.  </w:t>
      </w:r>
    </w:p>
    <w:p w14:paraId="766A2093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3.-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En términos de participación de capital o derechos de voto, se tendrá en cuenta el mayor de los dos porcentajes. A dicho porcentaje se añadirá el porcentaje de participación que cualquier otra empresa vinculada a la empresa accionista posea sobre la empresa en cuestión (apartado 2 del artículo 3 de la definición).  </w:t>
      </w:r>
    </w:p>
    <w:p w14:paraId="60709B3D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4.-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Una empresa puede seguir siendo considerada autónoma, aunque se alcance o se supere este límite del 25 % cuando corresponda a alguno de los tipos de inversores que se indican a continuación (siempre que los inversores no sean empresas vinculadas a la empresa solicitante):  </w:t>
      </w:r>
    </w:p>
    <w:p w14:paraId="5B006C78" w14:textId="77777777" w:rsidR="00240DB8" w:rsidRPr="00240DB8" w:rsidRDefault="00240DB8" w:rsidP="00240DB8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sociedades públicas de participación, sociedades de capital riesgo, personas físicas o grupos de personas físicas que realicen una actividad regular de inversión en capital riesgo (inversores providenciales o </w:t>
      </w:r>
      <w:r w:rsidRPr="00240DB8">
        <w:rPr>
          <w:rFonts w:ascii="Calibri" w:eastAsia="Times New Roman" w:hAnsi="Calibri" w:cs="Times New Roman"/>
          <w:i/>
          <w:iCs/>
          <w:w w:val="75"/>
          <w:lang w:eastAsia="es-ES"/>
        </w:rPr>
        <w:t>business angels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) e inviertan fondos propios en empresas sin cotización bursátil, siempre y cuando la inversión de dichos </w:t>
      </w:r>
      <w:r w:rsidRPr="00240DB8">
        <w:rPr>
          <w:rFonts w:ascii="Calibri" w:eastAsia="Times New Roman" w:hAnsi="Calibri" w:cs="Times New Roman"/>
          <w:i/>
          <w:iCs/>
          <w:w w:val="75"/>
          <w:lang w:eastAsia="es-ES"/>
        </w:rPr>
        <w:t>business angels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en la misma empresa no supere 1.250.000 euros;  </w:t>
      </w:r>
    </w:p>
    <w:p w14:paraId="3A4E145B" w14:textId="77777777" w:rsidR="00240DB8" w:rsidRPr="00240DB8" w:rsidRDefault="00240DB8" w:rsidP="00240DB8">
      <w:pPr>
        <w:numPr>
          <w:ilvl w:val="0"/>
          <w:numId w:val="6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universidades o centros de investigación sin fines lucrativos; c) inversores institucionales, incluidos los fondos de desarrollo regional. (Segundo párrafo del apartado 2 del artículo 3 de la definición). </w:t>
      </w:r>
    </w:p>
    <w:p w14:paraId="606FBBF3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5.-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Si el domicilio social de la empresa está ubicado en un Estado miembro que ha previsto una excepción a la obligación de elaborar dichas cuentas con arreglo a la séptima Directiva 831349/CEE, la empresa debe verificar específicamente que no cumple ninguna de las condiciones establecidas en el apartado 3 del artículo 3 de la definición.  </w:t>
      </w:r>
    </w:p>
    <w:p w14:paraId="398A51C3" w14:textId="77777777" w:rsidR="00240DB8" w:rsidRPr="00240DB8" w:rsidRDefault="00240DB8" w:rsidP="00240DB8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En algunos casos poco frecuentes, una empresa puede estar vinculada a otra a través de una persona o un grupo de personas físicas que actúen de común acuerdo (apartado 3 del artículo 3 de la definición).  </w:t>
      </w:r>
    </w:p>
    <w:p w14:paraId="0A6F82AE" w14:textId="77777777" w:rsidR="00240DB8" w:rsidRPr="00240DB8" w:rsidRDefault="00240DB8" w:rsidP="00240DB8">
      <w:pPr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A la inversa, puede darse el caso, muy poco habitual, de que una empresa elabore voluntariamente cuentas consolidadas sin estar sujeta a ello según la séptima Directiva. En este caso hipotético, la empresa no está necesariamente vinculada, y puede considerarse sólo asociada.  Para determinar si una empresa está vinculada o no, debe verificarse, para cada una de las tres situaciones mencionadas, si cumple alguna de las condiciones establecidas en el apartado 3 del artículo 3 de la definición, en su caso a través de una persona o grupo de personas físicas que actúen de común acuerdo.  </w:t>
      </w:r>
    </w:p>
    <w:p w14:paraId="72F502B5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6.-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DO L 193 de 18.7.1983, p. 1, cuya última modificación la constituye la Directiva 2001 (65/CE del Parlamento Europeo y del Consejo (DO L 283 de 27.10.2001, p. 28).</w:t>
      </w:r>
    </w:p>
    <w:p w14:paraId="3C75CE1E" w14:textId="77777777" w:rsidR="00240DB8" w:rsidRPr="00240DB8" w:rsidRDefault="00240DB8" w:rsidP="00240DB8">
      <w:pPr>
        <w:spacing w:before="120" w:after="120" w:line="240" w:lineRule="auto"/>
        <w:ind w:left="709" w:hanging="709"/>
        <w:jc w:val="both"/>
        <w:rPr>
          <w:rFonts w:ascii="Calibri" w:eastAsia="Times New Roman" w:hAnsi="Calibri" w:cs="Times New Roman"/>
          <w:w w:val="75"/>
          <w:lang w:eastAsia="es-ES"/>
        </w:rPr>
      </w:pPr>
      <w:r w:rsidRPr="00240DB8">
        <w:rPr>
          <w:rFonts w:ascii="Calibri" w:eastAsia="Times New Roman" w:hAnsi="Calibri" w:cs="Times New Roman"/>
          <w:b/>
          <w:bCs/>
          <w:w w:val="75"/>
          <w:lang w:eastAsia="es-ES"/>
        </w:rPr>
        <w:t>Nota 7.-</w:t>
      </w:r>
      <w:r w:rsidRPr="00240DB8">
        <w:rPr>
          <w:rFonts w:ascii="Calibri" w:eastAsia="Times New Roman" w:hAnsi="Calibri" w:cs="Times New Roman"/>
          <w:w w:val="75"/>
          <w:lang w:eastAsia="es-ES"/>
        </w:rPr>
        <w:t xml:space="preserve"> Artículo 5 de la definición.</w:t>
      </w:r>
    </w:p>
    <w:p w14:paraId="5EE533A7" w14:textId="77777777" w:rsidR="00EE4DC9" w:rsidRPr="00434C5E" w:rsidRDefault="00EE4DC9" w:rsidP="00434C5E"/>
    <w:sectPr w:rsidR="00EE4DC9" w:rsidRPr="00434C5E" w:rsidSect="002A3688">
      <w:headerReference w:type="default" r:id="rId9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FF2" w14:textId="77777777" w:rsidR="007E57FD" w:rsidRDefault="007E57FD" w:rsidP="00BC3E62">
      <w:pPr>
        <w:spacing w:after="0"/>
      </w:pPr>
      <w:r>
        <w:separator/>
      </w:r>
    </w:p>
  </w:endnote>
  <w:endnote w:type="continuationSeparator" w:id="0">
    <w:p w14:paraId="57ABB781" w14:textId="77777777" w:rsidR="007E57FD" w:rsidRDefault="007E57FD" w:rsidP="00B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9D5" w14:textId="77777777" w:rsidR="007E57FD" w:rsidRDefault="007E57FD" w:rsidP="00BC3E62">
      <w:pPr>
        <w:spacing w:after="0"/>
      </w:pPr>
      <w:r>
        <w:separator/>
      </w:r>
    </w:p>
  </w:footnote>
  <w:footnote w:type="continuationSeparator" w:id="0">
    <w:p w14:paraId="3A5D92CF" w14:textId="77777777" w:rsidR="007E57FD" w:rsidRDefault="007E57FD" w:rsidP="00BC3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796" w14:textId="77777777" w:rsidR="00BC3E62" w:rsidRDefault="002A3688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8B67C" wp14:editId="589D74C2">
          <wp:simplePos x="0" y="0"/>
          <wp:positionH relativeFrom="column">
            <wp:posOffset>-1079500</wp:posOffset>
          </wp:positionH>
          <wp:positionV relativeFrom="paragraph">
            <wp:posOffset>-1349375</wp:posOffset>
          </wp:positionV>
          <wp:extent cx="7560000" cy="10687588"/>
          <wp:effectExtent l="0" t="0" r="3175" b="0"/>
          <wp:wrapNone/>
          <wp:docPr id="288512839" name="Imagen 1" descr="Imagen que contiene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512839" name="Imagen 1" descr="Imagen que contiene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4CF"/>
    <w:multiLevelType w:val="hybridMultilevel"/>
    <w:tmpl w:val="D3BE9D64"/>
    <w:lvl w:ilvl="0" w:tplc="221E2DF0">
      <w:start w:val="1"/>
      <w:numFmt w:val="bullet"/>
      <w:lvlText w:val="—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ED2EF9"/>
    <w:multiLevelType w:val="hybridMultilevel"/>
    <w:tmpl w:val="A1FE21E0"/>
    <w:lvl w:ilvl="0" w:tplc="0C0A000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4" w:hanging="360"/>
      </w:pPr>
    </w:lvl>
    <w:lvl w:ilvl="2" w:tplc="0C0A001B" w:tentative="1">
      <w:start w:val="1"/>
      <w:numFmt w:val="lowerRoman"/>
      <w:lvlText w:val="%3."/>
      <w:lvlJc w:val="right"/>
      <w:pPr>
        <w:ind w:left="2554" w:hanging="180"/>
      </w:pPr>
    </w:lvl>
    <w:lvl w:ilvl="3" w:tplc="0C0A000F" w:tentative="1">
      <w:start w:val="1"/>
      <w:numFmt w:val="decimal"/>
      <w:lvlText w:val="%4."/>
      <w:lvlJc w:val="left"/>
      <w:pPr>
        <w:ind w:left="3274" w:hanging="360"/>
      </w:pPr>
    </w:lvl>
    <w:lvl w:ilvl="4" w:tplc="0C0A0019" w:tentative="1">
      <w:start w:val="1"/>
      <w:numFmt w:val="lowerLetter"/>
      <w:lvlText w:val="%5."/>
      <w:lvlJc w:val="left"/>
      <w:pPr>
        <w:ind w:left="3994" w:hanging="360"/>
      </w:pPr>
    </w:lvl>
    <w:lvl w:ilvl="5" w:tplc="0C0A001B" w:tentative="1">
      <w:start w:val="1"/>
      <w:numFmt w:val="lowerRoman"/>
      <w:lvlText w:val="%6."/>
      <w:lvlJc w:val="right"/>
      <w:pPr>
        <w:ind w:left="4714" w:hanging="180"/>
      </w:pPr>
    </w:lvl>
    <w:lvl w:ilvl="6" w:tplc="0C0A000F" w:tentative="1">
      <w:start w:val="1"/>
      <w:numFmt w:val="decimal"/>
      <w:lvlText w:val="%7."/>
      <w:lvlJc w:val="left"/>
      <w:pPr>
        <w:ind w:left="5434" w:hanging="360"/>
      </w:pPr>
    </w:lvl>
    <w:lvl w:ilvl="7" w:tplc="0C0A0019" w:tentative="1">
      <w:start w:val="1"/>
      <w:numFmt w:val="lowerLetter"/>
      <w:lvlText w:val="%8."/>
      <w:lvlJc w:val="left"/>
      <w:pPr>
        <w:ind w:left="6154" w:hanging="360"/>
      </w:pPr>
    </w:lvl>
    <w:lvl w:ilvl="8" w:tplc="0C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F17CBF"/>
    <w:multiLevelType w:val="hybridMultilevel"/>
    <w:tmpl w:val="1E52BB5A"/>
    <w:lvl w:ilvl="0" w:tplc="221E2DF0">
      <w:start w:val="1"/>
      <w:numFmt w:val="bullet"/>
      <w:lvlText w:val="—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2542C28"/>
    <w:multiLevelType w:val="hybridMultilevel"/>
    <w:tmpl w:val="77BCD21E"/>
    <w:lvl w:ilvl="0" w:tplc="970E7526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03D3B"/>
    <w:multiLevelType w:val="hybridMultilevel"/>
    <w:tmpl w:val="50E02B24"/>
    <w:lvl w:ilvl="0" w:tplc="6374B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4553373">
    <w:abstractNumId w:val="2"/>
  </w:num>
  <w:num w:numId="2" w16cid:durableId="999623025">
    <w:abstractNumId w:val="4"/>
  </w:num>
  <w:num w:numId="3" w16cid:durableId="2057075351">
    <w:abstractNumId w:val="5"/>
  </w:num>
  <w:num w:numId="4" w16cid:durableId="1007755672">
    <w:abstractNumId w:val="0"/>
  </w:num>
  <w:num w:numId="5" w16cid:durableId="1609700684">
    <w:abstractNumId w:val="1"/>
  </w:num>
  <w:num w:numId="6" w16cid:durableId="1016267315">
    <w:abstractNumId w:val="6"/>
  </w:num>
  <w:num w:numId="7" w16cid:durableId="64324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8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737B4"/>
    <w:rsid w:val="00084D26"/>
    <w:rsid w:val="000A1881"/>
    <w:rsid w:val="000A6B67"/>
    <w:rsid w:val="000B171D"/>
    <w:rsid w:val="000C0793"/>
    <w:rsid w:val="000C17E4"/>
    <w:rsid w:val="000C43D9"/>
    <w:rsid w:val="000E4311"/>
    <w:rsid w:val="000E5838"/>
    <w:rsid w:val="0011128D"/>
    <w:rsid w:val="00111D9A"/>
    <w:rsid w:val="00115996"/>
    <w:rsid w:val="00130D1C"/>
    <w:rsid w:val="00137B96"/>
    <w:rsid w:val="00160309"/>
    <w:rsid w:val="00175626"/>
    <w:rsid w:val="001926D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40DB8"/>
    <w:rsid w:val="0025271D"/>
    <w:rsid w:val="0027268F"/>
    <w:rsid w:val="00274C43"/>
    <w:rsid w:val="0027539A"/>
    <w:rsid w:val="00284BAA"/>
    <w:rsid w:val="00285EEF"/>
    <w:rsid w:val="00285F7A"/>
    <w:rsid w:val="00294A43"/>
    <w:rsid w:val="002A3688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26F8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34C5E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D417D"/>
    <w:rsid w:val="007E36AE"/>
    <w:rsid w:val="007E4FCC"/>
    <w:rsid w:val="007E57FD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AE64F6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C56D4"/>
    <w:rsid w:val="00CD3270"/>
    <w:rsid w:val="00D03968"/>
    <w:rsid w:val="00D0714D"/>
    <w:rsid w:val="00D114A4"/>
    <w:rsid w:val="00D150D2"/>
    <w:rsid w:val="00D167BE"/>
    <w:rsid w:val="00D24D5F"/>
    <w:rsid w:val="00D26C41"/>
    <w:rsid w:val="00D54F05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37788"/>
    <w:rsid w:val="00E54EF9"/>
    <w:rsid w:val="00E653A0"/>
    <w:rsid w:val="00E657B8"/>
    <w:rsid w:val="00E668FD"/>
    <w:rsid w:val="00E96869"/>
    <w:rsid w:val="00EA56C6"/>
    <w:rsid w:val="00EB1C48"/>
    <w:rsid w:val="00EB5256"/>
    <w:rsid w:val="00EC637B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79150"/>
  <w15:docId w15:val="{32BD7008-E7C6-4E28-8BE4-0F0E0D5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3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54F05"/>
    <w:pPr>
      <w:keepNext/>
      <w:spacing w:before="240" w:after="60" w:line="240" w:lineRule="auto"/>
      <w:ind w:firstLine="709"/>
      <w:jc w:val="both"/>
      <w:outlineLvl w:val="0"/>
    </w:pPr>
    <w:rPr>
      <w:rFonts w:eastAsia="Times New Roman" w:cs="Arial"/>
      <w:b/>
      <w:bCs/>
      <w:w w:val="75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 w:after="120" w:line="240" w:lineRule="auto"/>
      <w:ind w:firstLine="709"/>
      <w:jc w:val="both"/>
      <w:outlineLvl w:val="1"/>
    </w:pPr>
    <w:rPr>
      <w:rFonts w:eastAsia="Times New Roman" w:cs="Arial"/>
      <w:b/>
      <w:bCs/>
      <w:iCs/>
      <w:w w:val="75"/>
      <w:sz w:val="28"/>
      <w:szCs w:val="28"/>
      <w:u w:val="single"/>
      <w:lang w:eastAsia="es-ES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 w:line="240" w:lineRule="auto"/>
      <w:ind w:firstLine="709"/>
      <w:jc w:val="both"/>
      <w:outlineLvl w:val="2"/>
    </w:pPr>
    <w:rPr>
      <w:rFonts w:eastAsia="Times New Roman" w:cs="Arial"/>
      <w:b/>
      <w:bCs/>
      <w:w w:val="75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 w:after="120" w:line="240" w:lineRule="auto"/>
      <w:ind w:firstLine="709"/>
      <w:jc w:val="both"/>
      <w:outlineLvl w:val="3"/>
    </w:pPr>
    <w:rPr>
      <w:rFonts w:eastAsia="Times New Roman" w:cs="Times New Roman"/>
      <w:b/>
      <w:bCs/>
      <w:w w:val="75"/>
      <w:sz w:val="24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after="0" w:line="240" w:lineRule="auto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paragraph" w:styleId="Ttulo">
    <w:name w:val="Title"/>
    <w:basedOn w:val="Normal"/>
    <w:qFormat/>
    <w:rsid w:val="00651BFC"/>
    <w:pPr>
      <w:spacing w:before="240" w:after="240" w:line="240" w:lineRule="auto"/>
      <w:ind w:firstLine="709"/>
      <w:jc w:val="center"/>
      <w:outlineLvl w:val="0"/>
    </w:pPr>
    <w:rPr>
      <w:rFonts w:eastAsia="Times New Roman" w:cs="Arial"/>
      <w:b/>
      <w:bCs/>
      <w:kern w:val="28"/>
      <w:sz w:val="36"/>
      <w:szCs w:val="32"/>
      <w:lang w:eastAsia="es-ES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spacing w:after="0" w:line="240" w:lineRule="auto"/>
      <w:jc w:val="right"/>
    </w:pPr>
    <w:rPr>
      <w:rFonts w:eastAsia="Times New Roman" w:cs="Times New Roman"/>
      <w:b/>
      <w:w w:val="75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pPr>
      <w:spacing w:after="0" w:line="240" w:lineRule="auto"/>
      <w:ind w:firstLine="709"/>
      <w:jc w:val="both"/>
    </w:pPr>
    <w:rPr>
      <w:rFonts w:ascii="Tahoma" w:eastAsia="Times New Roman" w:hAnsi="Tahoma" w:cs="Tahoma"/>
      <w:w w:val="75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aporcia.com/images/documentos/documento_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TAGUS%202023\A4%20Tagus%20FEA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D95-87AD-4CDD-9DE4-71EC7B6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3</TotalTime>
  <Pages>5</Pages>
  <Words>1615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Angeles</dc:creator>
  <cp:lastModifiedBy>Maru Herrero</cp:lastModifiedBy>
  <cp:revision>3</cp:revision>
  <dcterms:created xsi:type="dcterms:W3CDTF">2023-11-16T10:44:00Z</dcterms:created>
  <dcterms:modified xsi:type="dcterms:W3CDTF">2023-12-14T09:26:00Z</dcterms:modified>
</cp:coreProperties>
</file>